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湖南新闻奖参评作品推荐表</w:t>
      </w:r>
    </w:p>
    <w:tbl>
      <w:tblPr>
        <w:tblStyle w:val="3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jc w:val="lef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</w:pBdr>
              <w:spacing w:before="0" w:beforeAutospacing="0" w:after="0" w:afterAutospacing="0" w:line="465" w:lineRule="atLeast"/>
              <w:ind w:left="0" w:right="0"/>
              <w:jc w:val="both"/>
              <w:rPr>
                <w:b/>
                <w:bCs/>
                <w:color w:val="28292D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微视频 | 凤凰：全国首条磁浮观光快线一年超80万人次打卡 成为湖南科技和旅游新名片</w:t>
            </w:r>
            <w:r>
              <w:rPr>
                <w:rFonts w:hint="eastAsia" w:hAnsi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》</w:t>
            </w:r>
          </w:p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 w:cs="仿宋"/>
                <w:color w:val="000000"/>
                <w:szCs w:val="18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 xml:space="preserve">消 </w:t>
            </w:r>
            <w:r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  <w:t>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Ansi="仿宋"/>
                <w:color w:val="000000"/>
                <w:sz w:val="28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新媒体消</w:t>
            </w:r>
            <w:r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  <w:t>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left"/>
              <w:rPr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hAnsi="华文中宋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王庭甫  王光昊 </w:t>
            </w:r>
            <w:r>
              <w:rPr>
                <w:rFonts w:hint="eastAsia" w:hAnsi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余静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肖昕翔 杨籍斌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ind w:firstLine="840" w:firstLineChars="400"/>
              <w:jc w:val="left"/>
              <w:rPr>
                <w:rFonts w:hint="default" w:ascii="仿宋" w:hAnsi="仿宋" w:eastAsia="仿宋"/>
                <w:color w:val="000000"/>
                <w:w w:val="95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王庭甫 余静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0" w:hRule="atLeast"/>
          <w:jc w:val="center"/>
        </w:trPr>
        <w:tc>
          <w:tcPr>
            <w:tcW w:w="1450" w:type="dxa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both"/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湘西土家族苗族自治州</w:t>
            </w:r>
          </w:p>
          <w:p>
            <w:pPr>
              <w:spacing w:line="260" w:lineRule="exact"/>
              <w:jc w:val="both"/>
              <w:rPr>
                <w:rFonts w:hint="eastAsia" w:ascii="仿宋" w:hAnsi="仿宋" w:eastAsia="仿宋" w:cs="Times New Roman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广播电视台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Times New Roman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湘西土家族苗族自治州广播电视台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9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20" w:lineRule="exact"/>
              <w:jc w:val="center"/>
              <w:rPr>
                <w:rFonts w:hAnsi="仿宋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《湘西融媒》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rPr>
                <w:rFonts w:hint="default" w:hAnsi="仿宋"/>
                <w:color w:val="000000"/>
                <w:szCs w:val="21"/>
                <w:lang w:val="en-US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8月1日8点30分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7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jc w:val="left"/>
              <w:rPr>
                <w:rFonts w:hint="eastAsia"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u w:val="none"/>
              </w:rPr>
              <w:instrText xml:space="preserve"> HYPERLINK "http://redxx.cn/syncott/Modile/newsServlet?uniqueID=d573e382-5f01-4cc5-837a-a27ceb91d88f&amp;xgyd=null&amp;createTime=2023-08-07&amp;aid=17hnxxz&amp;pt=1&amp;fxbs=1" </w:instrTex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Style w:val="6"/>
                <w:rFonts w:hint="eastAsia" w:hAnsi="仿宋_GB2312" w:cs="仿宋_GB2312"/>
                <w:color w:val="000000"/>
                <w:sz w:val="21"/>
                <w:szCs w:val="21"/>
                <w:u w:val="none"/>
              </w:rPr>
              <w:t>http://redxx.cn/syncott/Modile/newsServlet?uniqueID=d573e382-5f01-4cc5-837a-a27ceb91d88f&amp;xgyd=null&amp;createTime=2023-08-07&amp;aid=17hnxxz&amp;pt=1&amp;fxbs=1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u w:val="none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3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讲好湖南故事，彰显中国魅力。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该</w:t>
            </w:r>
            <w:r>
              <w:rPr>
                <w:rFonts w:hint="eastAsia" w:hAnsi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新闻立足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“全国首条磁浮观光快线</w:t>
            </w:r>
            <w:r>
              <w:rPr>
                <w:rFonts w:hint="eastAsia" w:hAnsi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安全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运营一周年”</w:t>
            </w:r>
            <w:r>
              <w:rPr>
                <w:rFonts w:hint="eastAsia" w:hAnsi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新闻现场，聚焦“磁浮+文旅”的首创精神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，进行“车票变门票，车站变景区”的沉浸式报道，</w:t>
            </w:r>
            <w:r>
              <w:rPr>
                <w:rFonts w:hint="eastAsia" w:hAnsi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擦亮了“湖南磁浮”金字名片，展现了现代化新湖南的创新活力。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2" w:hRule="exact"/>
          <w:jc w:val="center"/>
        </w:trPr>
        <w:tc>
          <w:tcPr>
            <w:tcW w:w="1450" w:type="dxa"/>
            <w:vAlign w:val="center"/>
          </w:tcPr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新闻得到了广泛转发和点赞，并被湖南卫视、湖南经视、风芒等省媒采用播出，扩大了新闻的传播力和影响力。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5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20" w:lineRule="exact"/>
              <w:ind w:firstLine="3360" w:firstLineChars="1600"/>
              <w:jc w:val="both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80" w:lineRule="exact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 xml:space="preserve">  签名：（盖单位公章）</w:t>
            </w:r>
          </w:p>
          <w:p>
            <w:pPr>
              <w:spacing w:line="38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 xml:space="preserve"> 年  月  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王庭甫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13637438086</w:t>
            </w:r>
          </w:p>
        </w:tc>
      </w:tr>
    </w:tbl>
    <w:p>
      <w:pPr>
        <w:spacing w:line="20" w:lineRule="atLeast"/>
        <w:jc w:val="both"/>
        <w:rPr>
          <w:rFonts w:ascii="华文仿宋" w:hAnsi="华文仿宋" w:eastAsia="华文仿宋"/>
          <w:color w:val="000000"/>
          <w:szCs w:val="32"/>
        </w:rPr>
        <w:sectPr>
          <w:pgSz w:w="11906" w:h="16838"/>
          <w:pgMar w:top="1440" w:right="1247" w:bottom="1440" w:left="1247" w:header="851" w:footer="1418" w:gutter="0"/>
          <w:pgNumType w:fmt="numberInDash"/>
          <w:cols w:space="425" w:num="1"/>
          <w:docGrid w:type="lines" w:linePitch="312" w:charSpace="0"/>
        </w:sectPr>
      </w:pPr>
    </w:p>
    <w:p>
      <w:pPr>
        <w:spacing w:line="240" w:lineRule="auto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xYTVhNTExNWEwYzM4YTczMDFmNzkxZDQwOTI3YjUifQ=="/>
  </w:docVars>
  <w:rsids>
    <w:rsidRoot w:val="76967C52"/>
    <w:rsid w:val="00DE5B59"/>
    <w:rsid w:val="0248199C"/>
    <w:rsid w:val="039B791C"/>
    <w:rsid w:val="0C943365"/>
    <w:rsid w:val="1BB07E8C"/>
    <w:rsid w:val="1C066B60"/>
    <w:rsid w:val="1EB31B66"/>
    <w:rsid w:val="21EC5478"/>
    <w:rsid w:val="22F77E06"/>
    <w:rsid w:val="2C395B26"/>
    <w:rsid w:val="30E42DF1"/>
    <w:rsid w:val="314B4212"/>
    <w:rsid w:val="39390072"/>
    <w:rsid w:val="3D8A5D30"/>
    <w:rsid w:val="482215FF"/>
    <w:rsid w:val="4F1D07B2"/>
    <w:rsid w:val="566C6792"/>
    <w:rsid w:val="5A156D9F"/>
    <w:rsid w:val="5C046349"/>
    <w:rsid w:val="5E8C1F03"/>
    <w:rsid w:val="5FD337A9"/>
    <w:rsid w:val="6E1F7C4B"/>
    <w:rsid w:val="76967C52"/>
    <w:rsid w:val="76B57968"/>
    <w:rsid w:val="797F1DA4"/>
    <w:rsid w:val="7CA96046"/>
    <w:rsid w:val="7F2E0634"/>
    <w:rsid w:val="AFFD5963"/>
    <w:rsid w:val="F7D42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2024-03-06T00:01:00Z</dcterms:created>
  <dc:creator>王阿玛</dc:creator>
  <cp:lastModifiedBy>greatwall</cp:lastModifiedBy>
  <dcterms:modified xsi:type="dcterms:W3CDTF">2024-03-12T14:41:36Z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923B7522D0894E528FFBD3B816B45BF4_11</vt:lpwstr>
  </property>
</Properties>
</file>